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binary" PartName="/gd/metadata"/>
  <Override ContentType="application/binary" PartName="/gd/snapshot"/>
  <Override ContentType="application/binary" PartName="/gd/signature"/>
  <Override ContentType="application/binary" PartName="/gd/debuginfo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rtl w:val="0"/>
        </w:rPr>
        <w:t xml:space="preserve">Improvement Project Template</w:t>
        <w:br w:type="textWrapping"/>
      </w:r>
    </w:p>
    <w:tbl>
      <w:tblPr>
        <w:tblStyle w:val="Table1"/>
        <w:tblW w:w="88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745"/>
        <w:gridCol w:w="6150"/>
        <w:tblGridChange w:id="0">
          <w:tblGrid>
            <w:gridCol w:w="2745"/>
            <w:gridCol w:w="61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College/Department: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Leader: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Project Start Date: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Review Date: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1.   Diagnose and Define Focus Areas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Understand what your team’s engagement data is telling you.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Review your department’s survey results in each domain (Engagement, Belonging, Wellbeing, Burnout, Drivers).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Identify the highest scores and lowest scores. 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Read written comments and highlight themes or examples.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Choose one or two focus areas where improvement will have the greatest impact.</w: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Better U Survey Results Summary</w:t>
      </w:r>
    </w:p>
    <w:tbl>
      <w:tblPr>
        <w:tblStyle w:val="Table2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290"/>
        <w:gridCol w:w="6315"/>
        <w:tblGridChange w:id="0">
          <w:tblGrid>
            <w:gridCol w:w="2460"/>
            <w:gridCol w:w="1290"/>
            <w:gridCol w:w="63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360" w:firstLine="0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Domain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0" w:firstLine="0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Score (% Favorable)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36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Key Insights/Comments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Engagement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Belonging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Well-being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Burnout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36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360" w:firstLine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360" w:firstLine="0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360" w:firstLine="0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360" w:firstLine="0"/>
        <w:rPr>
          <w:rFonts w:ascii="Century Gothic" w:cs="Century Gothic" w:eastAsia="Century Gothic" w:hAnsi="Century Gothic"/>
          <w:i w:val="1"/>
          <w:i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Written Comments: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4"/>
          <w:szCs w:val="24"/>
          <w:rtl w:val="0"/>
        </w:rPr>
        <w:t xml:space="preserve">(What themes or examples were identified?)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rPr>
          <w:rFonts w:ascii="Century Gothic" w:cs="Century Gothic" w:eastAsia="Century Gothic" w:hAnsi="Century Gothic"/>
          <w:i w:val="1"/>
          <w:i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Summary of Priority Area(s):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4"/>
          <w:szCs w:val="24"/>
          <w:rtl w:val="0"/>
        </w:rPr>
        <w:t xml:space="preserve">(Which domain(s) is most critical for your team to address?)</w:t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4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2. Identify Root Causes</w:t>
      </w:r>
    </w:p>
    <w:p w:rsidR="00000000" w:rsidDel="00000000" w:rsidP="00000000" w:rsidRDefault="00000000" w:rsidRPr="00000000" w14:paraId="00000045">
      <w:pPr>
        <w:ind w:firstLine="28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Understand why an issue or a gap exists before jumping to solutions.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Use data, focus groups, or team discussions to further understanding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Consider hosting a listening session or focus group.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Use a fish-bone or cause-and-effect diagram to identify underlying issues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Summarize findings in a short list of root causes.</w:t>
      </w:r>
    </w:p>
    <w:p w:rsidR="00000000" w:rsidDel="00000000" w:rsidP="00000000" w:rsidRDefault="00000000" w:rsidRPr="00000000" w14:paraId="0000004A">
      <w:pPr>
        <w:ind w:left="720" w:firstLine="10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10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10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10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10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Root Causes Identified:</w:t>
      </w:r>
    </w:p>
    <w:tbl>
      <w:tblPr>
        <w:tblStyle w:val="Table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left="540" w:hanging="260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3. Define the Project Goal (SMART Goal)</w:t>
      </w:r>
    </w:p>
    <w:p w:rsidR="00000000" w:rsidDel="00000000" w:rsidP="00000000" w:rsidRDefault="00000000" w:rsidRPr="00000000" w14:paraId="00000056">
      <w:pPr>
        <w:ind w:left="28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Set a focused, meaningful improvement target. Make sure that it is Specific, Measurable, Achievable, Relevant, and Time-bound.</w:t>
      </w:r>
    </w:p>
    <w:p w:rsidR="00000000" w:rsidDel="00000000" w:rsidP="00000000" w:rsidRDefault="00000000" w:rsidRPr="00000000" w14:paraId="00000057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Our SMART Goal:</w:t>
      </w:r>
    </w:p>
    <w:tbl>
      <w:tblPr>
        <w:tblStyle w:val="Table6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spacing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4. Build a Project Team</w:t>
      </w:r>
    </w:p>
    <w:p w:rsidR="00000000" w:rsidDel="00000000" w:rsidP="00000000" w:rsidRDefault="00000000" w:rsidRPr="00000000" w14:paraId="0000005F">
      <w:pPr>
        <w:ind w:firstLine="28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Share ownership, design solutions together.</w:t>
      </w:r>
    </w:p>
    <w:p w:rsidR="00000000" w:rsidDel="00000000" w:rsidP="00000000" w:rsidRDefault="00000000" w:rsidRPr="00000000" w14:paraId="00000060">
      <w:pPr>
        <w:numPr>
          <w:ilvl w:val="0"/>
          <w:numId w:val="1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Select 3-6 people from varying roles within the team.</w:t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Clarify roles, including project lead, sponsor, representatives, communications, data manager etc.</w:t>
      </w:r>
    </w:p>
    <w:p w:rsidR="00000000" w:rsidDel="00000000" w:rsidP="00000000" w:rsidRDefault="00000000" w:rsidRPr="00000000" w14:paraId="00000062">
      <w:pPr>
        <w:ind w:left="72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tbl>
      <w:tblPr>
        <w:tblStyle w:val="Table7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80"/>
        <w:gridCol w:w="2910"/>
        <w:gridCol w:w="3090"/>
        <w:tblGridChange w:id="0">
          <w:tblGrid>
            <w:gridCol w:w="2880"/>
            <w:gridCol w:w="2910"/>
            <w:gridCol w:w="309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Responsibilities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5. Design and Implement Targeted Actions 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Brainstorm 3-5 specific actions to meet SMART goal.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Assign owners, set timelines, and identify indicators of success.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Schedule regular check-ins to review progress.</w:t>
      </w:r>
    </w:p>
    <w:p w:rsidR="00000000" w:rsidDel="00000000" w:rsidP="00000000" w:rsidRDefault="00000000" w:rsidRPr="00000000" w14:paraId="0000007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tbl>
      <w:tblPr>
        <w:tblStyle w:val="Table8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2325"/>
        <w:gridCol w:w="2310"/>
        <w:gridCol w:w="1965"/>
        <w:tblGridChange w:id="0">
          <w:tblGrid>
            <w:gridCol w:w="2295"/>
            <w:gridCol w:w="2325"/>
            <w:gridCol w:w="2310"/>
            <w:gridCol w:w="196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Person(s) Responsible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Timeline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Intended Outcome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6. Measure Progress and Outcomes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Collect short-term metrics to track project progress (e.g., participation).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Run quick pulse questions or check-ins on a regular cadence (e.g., quarterly)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Identify additional outcome metrics (e.g., retention)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Document change in scores or responses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Survey item(s) tracked: 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Target improvement: 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Supporting data (e.g., retention, absenteeism): 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Themes from focus groups or pulse surveys: 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Observed changes in team dynamics, communication, etc: </w:t>
      </w:r>
    </w:p>
    <w:p w:rsidR="00000000" w:rsidDel="00000000" w:rsidP="00000000" w:rsidRDefault="00000000" w:rsidRPr="00000000" w14:paraId="000000A1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7. Progress Review and Adjustments</w:t>
      </w:r>
    </w:p>
    <w:p w:rsidR="00000000" w:rsidDel="00000000" w:rsidP="00000000" w:rsidRDefault="00000000" w:rsidRPr="00000000" w14:paraId="000000A3">
      <w:pPr>
        <w:ind w:firstLine="28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Learn and adapt based on what is working.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Review progress every three months or at the needed cadence for your project.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Ask: What has improved? What has stalled? What should we try next? 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Revise the action plan and celebrate quick wins.</w:t>
      </w:r>
    </w:p>
    <w:p w:rsidR="00000000" w:rsidDel="00000000" w:rsidP="00000000" w:rsidRDefault="00000000" w:rsidRPr="00000000" w14:paraId="000000A7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ind w:firstLine="460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Quarterly Review Schedule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A9">
      <w:pPr>
        <w:ind w:firstLine="4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☐ Q1 ☐ Q2 ☐ Q3 ☐ Q4</w:t>
      </w:r>
    </w:p>
    <w:p w:rsidR="00000000" w:rsidDel="00000000" w:rsidP="00000000" w:rsidRDefault="00000000" w:rsidRPr="00000000" w14:paraId="000000AA">
      <w:pPr>
        <w:ind w:firstLine="460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B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Progress Summary:</w:t>
      </w:r>
    </w:p>
    <w:tbl>
      <w:tblPr>
        <w:tblStyle w:val="Table9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Adjustments Made:</w:t>
      </w:r>
    </w:p>
    <w:tbl>
      <w:tblPr>
        <w:tblStyle w:val="Table10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5"/>
              </w:numPr>
              <w:spacing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u w:val="singl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B6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8. Sustainability Plan</w:t>
      </w:r>
    </w:p>
    <w:p w:rsidR="00000000" w:rsidDel="00000000" w:rsidP="00000000" w:rsidRDefault="00000000" w:rsidRPr="00000000" w14:paraId="000000B8">
      <w:pPr>
        <w:ind w:firstLine="28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Make improvements stick.</w:t>
      </w:r>
    </w:p>
    <w:p w:rsidR="00000000" w:rsidDel="00000000" w:rsidP="00000000" w:rsidRDefault="00000000" w:rsidRPr="00000000" w14:paraId="000000B9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 How will successful actions become part of daily routines or culture?</w:t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How will progress be monitored long-term?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Who needs to be recognized for facilitating this initiative or modeling new behavior?</w:t>
      </w:r>
    </w:p>
    <w:p w:rsidR="00000000" w:rsidDel="00000000" w:rsidP="00000000" w:rsidRDefault="00000000" w:rsidRPr="00000000" w14:paraId="000000B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9. Communication Plan</w:t>
      </w:r>
    </w:p>
    <w:p w:rsidR="00000000" w:rsidDel="00000000" w:rsidP="00000000" w:rsidRDefault="00000000" w:rsidRPr="00000000" w14:paraId="000000BE">
      <w:pPr>
        <w:ind w:firstLine="28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Reinforce trust and accountability</w:t>
      </w:r>
    </w:p>
    <w:p w:rsidR="00000000" w:rsidDel="00000000" w:rsidP="00000000" w:rsidRDefault="00000000" w:rsidRPr="00000000" w14:paraId="000000BF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Share progress updates in team meetings, newsletters, or dashboards.</w:t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Always connect improvements to Better U results and/or team feedback (e.g. “You said…. We did…”).</w:t>
      </w:r>
    </w:p>
    <w:p w:rsidR="00000000" w:rsidDel="00000000" w:rsidP="00000000" w:rsidRDefault="00000000" w:rsidRPr="00000000" w14:paraId="000000C1">
      <w:pPr>
        <w:numPr>
          <w:ilvl w:val="0"/>
          <w:numId w:val="16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Celebrate milestones publicly.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Audiences: (staff, leadership, etc.)</w:t>
      </w:r>
    </w:p>
    <w:tbl>
      <w:tblPr>
        <w:tblStyle w:val="Table1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ind w:firstLine="4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ind w:firstLine="4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A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Methods: (town halls, newsletter, dashboard updates)</w:t>
      </w:r>
    </w:p>
    <w:tbl>
      <w:tblPr>
        <w:tblStyle w:val="Table1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ind w:firstLine="4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ind w:firstLine="460"/>
        <w:rPr>
          <w:rFonts w:ascii="Century Gothic" w:cs="Century Gothic" w:eastAsia="Century Gothic" w:hAnsi="Century Gothic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Key Messages:</w:t>
      </w:r>
    </w:p>
    <w:tbl>
      <w:tblPr>
        <w:tblStyle w:val="Table1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7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10.   Outcomes and Reflection</w:t>
      </w:r>
    </w:p>
    <w:p w:rsidR="00000000" w:rsidDel="00000000" w:rsidP="00000000" w:rsidRDefault="00000000" w:rsidRPr="00000000" w14:paraId="000000D9">
      <w:pPr>
        <w:ind w:firstLine="4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Close the loop by measuring impact and team learning.</w:t>
      </w:r>
    </w:p>
    <w:p w:rsidR="00000000" w:rsidDel="00000000" w:rsidP="00000000" w:rsidRDefault="00000000" w:rsidRPr="00000000" w14:paraId="000000DA">
      <w:pPr>
        <w:numPr>
          <w:ilvl w:val="0"/>
          <w:numId w:val="1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Compare final metrics with baseline data.</w:t>
      </w:r>
    </w:p>
    <w:p w:rsidR="00000000" w:rsidDel="00000000" w:rsidP="00000000" w:rsidRDefault="00000000" w:rsidRPr="00000000" w14:paraId="000000DB">
      <w:pPr>
        <w:numPr>
          <w:ilvl w:val="0"/>
          <w:numId w:val="1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Summarize what changes and why.</w:t>
      </w:r>
    </w:p>
    <w:p w:rsidR="00000000" w:rsidDel="00000000" w:rsidP="00000000" w:rsidRDefault="00000000" w:rsidRPr="00000000" w14:paraId="000000DC">
      <w:pPr>
        <w:numPr>
          <w:ilvl w:val="0"/>
          <w:numId w:val="1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Reflect as a leader/ project team: What did I learn?</w:t>
      </w:r>
    </w:p>
    <w:p w:rsidR="00000000" w:rsidDel="00000000" w:rsidP="00000000" w:rsidRDefault="00000000" w:rsidRPr="00000000" w14:paraId="000000DD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4"/>
        <w:tblW w:w="6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1650"/>
        <w:gridCol w:w="1635"/>
        <w:tblGridChange w:id="0">
          <w:tblGrid>
            <w:gridCol w:w="2805"/>
            <w:gridCol w:w="1650"/>
            <w:gridCol w:w="16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Baseline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Post-Project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Engagement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Belonging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Wellbeing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Burnout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Drivers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F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Leader Reflection: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did you learn about your team’s experience and engagement?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28763" cy="639144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8763" cy="6391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6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10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11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12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13">
    <w:basedOn w:val="TableNormal"/>
    <w:tblPr>
      <w:tblStyleRowBandSize w:val="1"/>
      <w:tblStyleColBandSize w:val="1"/>
      <w:tblCellMar/>
    </w:tblPr>
    <w:tcPr>
      <w:shd w:fill="e8e8e8" w:val="clear"/>
    </w:tcPr>
  </w:style>
  <w:style w:type="table" w:styleId="Table1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